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C2" w:rsidRPr="004B2A9B" w:rsidRDefault="007A70C2" w:rsidP="007A70C2">
      <w:pPr>
        <w:pStyle w:val="21"/>
        <w:shd w:val="clear" w:color="auto" w:fill="auto"/>
        <w:spacing w:before="0" w:after="217" w:line="210" w:lineRule="exact"/>
        <w:ind w:right="60"/>
      </w:pPr>
      <w:r w:rsidRPr="004B2A9B">
        <w:t xml:space="preserve">Обоснование начальной (максимальной) цены </w:t>
      </w:r>
      <w:r>
        <w:t xml:space="preserve">договора на поставку </w:t>
      </w:r>
      <w:r w:rsidR="0095129D">
        <w:t>угля марки 2БР</w:t>
      </w:r>
    </w:p>
    <w:p w:rsidR="007A70C2" w:rsidRPr="00336EFA" w:rsidRDefault="007A70C2" w:rsidP="007A70C2">
      <w:pPr>
        <w:pStyle w:val="a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2A9B">
        <w:t>1</w:t>
      </w:r>
      <w:r w:rsidRPr="004B2A9B">
        <w:rPr>
          <w:rFonts w:ascii="Times New Roman" w:hAnsi="Times New Roman" w:cs="Times New Roman"/>
        </w:rPr>
        <w:t xml:space="preserve">. </w:t>
      </w:r>
      <w:proofErr w:type="gramStart"/>
      <w:r w:rsidRPr="004B2A9B">
        <w:rPr>
          <w:rFonts w:ascii="Times New Roman" w:hAnsi="Times New Roman" w:cs="Times New Roman"/>
        </w:rPr>
        <w:t xml:space="preserve">В соответствии с </w:t>
      </w:r>
      <w:r w:rsidRPr="00336EFA">
        <w:rPr>
          <w:rFonts w:ascii="Times New Roman" w:hAnsi="Times New Roman" w:cs="Times New Roman"/>
        </w:rPr>
        <w:t>положением по 223-ФЗ «</w:t>
      </w:r>
      <w:r w:rsidRPr="00336EFA">
        <w:rPr>
          <w:rFonts w:ascii="Times New Roman" w:hAnsi="Times New Roman" w:cs="Times New Roman"/>
          <w:sz w:val="24"/>
          <w:szCs w:val="24"/>
        </w:rPr>
        <w:t>О порядке проведения закупок товаров, работ, услуг, для нужд Государственного автономного учреждения социального обслуживания «</w:t>
      </w:r>
      <w:proofErr w:type="spellStart"/>
      <w:r w:rsidR="003C4D68">
        <w:rPr>
          <w:rFonts w:ascii="Times New Roman" w:hAnsi="Times New Roman" w:cs="Times New Roman"/>
          <w:sz w:val="24"/>
          <w:szCs w:val="24"/>
        </w:rPr>
        <w:t>Хадабулакск</w:t>
      </w:r>
      <w:r w:rsidRPr="00336EF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336EFA">
        <w:rPr>
          <w:rFonts w:ascii="Times New Roman" w:hAnsi="Times New Roman" w:cs="Times New Roman"/>
          <w:sz w:val="24"/>
          <w:szCs w:val="24"/>
        </w:rPr>
        <w:t xml:space="preserve"> психоневрологический до</w:t>
      </w:r>
      <w:r w:rsidR="003C4D68">
        <w:rPr>
          <w:rFonts w:ascii="Times New Roman" w:hAnsi="Times New Roman" w:cs="Times New Roman"/>
          <w:sz w:val="24"/>
          <w:szCs w:val="24"/>
        </w:rPr>
        <w:t>м интернат» Забайкальского края</w:t>
      </w:r>
      <w:r w:rsidRPr="00336EFA">
        <w:rPr>
          <w:rFonts w:ascii="Times New Roman" w:hAnsi="Times New Roman" w:cs="Times New Roman"/>
          <w:sz w:val="24"/>
          <w:szCs w:val="24"/>
        </w:rPr>
        <w:t xml:space="preserve">, утвержденным Протоколом заседания </w:t>
      </w:r>
      <w:r w:rsidR="004E3256">
        <w:rPr>
          <w:rFonts w:ascii="Times New Roman" w:hAnsi="Times New Roman" w:cs="Times New Roman"/>
          <w:sz w:val="24"/>
          <w:szCs w:val="24"/>
        </w:rPr>
        <w:t>Наблюдательного совета ГАУСО «</w:t>
      </w:r>
      <w:proofErr w:type="spellStart"/>
      <w:r w:rsidR="003C4D68">
        <w:rPr>
          <w:rFonts w:ascii="Times New Roman" w:hAnsi="Times New Roman" w:cs="Times New Roman"/>
          <w:sz w:val="24"/>
          <w:szCs w:val="24"/>
        </w:rPr>
        <w:t>Хадабулакский</w:t>
      </w:r>
      <w:proofErr w:type="spellEnd"/>
      <w:r w:rsidR="00033A60" w:rsidRPr="00033A60">
        <w:rPr>
          <w:rFonts w:ascii="Times New Roman" w:hAnsi="Times New Roman" w:cs="Times New Roman"/>
          <w:sz w:val="24"/>
          <w:szCs w:val="24"/>
        </w:rPr>
        <w:t xml:space="preserve"> </w:t>
      </w:r>
      <w:r w:rsidR="004E3256">
        <w:rPr>
          <w:rFonts w:ascii="Times New Roman" w:hAnsi="Times New Roman" w:cs="Times New Roman"/>
          <w:sz w:val="24"/>
          <w:szCs w:val="24"/>
        </w:rPr>
        <w:t>П</w:t>
      </w:r>
      <w:r w:rsidRPr="00336EFA">
        <w:rPr>
          <w:rFonts w:ascii="Times New Roman" w:hAnsi="Times New Roman" w:cs="Times New Roman"/>
          <w:sz w:val="24"/>
          <w:szCs w:val="24"/>
        </w:rPr>
        <w:t>НДИ» Забайкальского края от</w:t>
      </w:r>
      <w:r w:rsidR="007D0BC0">
        <w:rPr>
          <w:rFonts w:ascii="Times New Roman" w:hAnsi="Times New Roman" w:cs="Times New Roman"/>
          <w:sz w:val="24"/>
          <w:szCs w:val="24"/>
        </w:rPr>
        <w:t xml:space="preserve"> 24.12.2019</w:t>
      </w:r>
      <w:r w:rsidRPr="00336EFA">
        <w:rPr>
          <w:rFonts w:ascii="Times New Roman" w:hAnsi="Times New Roman" w:cs="Times New Roman"/>
          <w:sz w:val="24"/>
          <w:szCs w:val="24"/>
        </w:rPr>
        <w:t xml:space="preserve"> г.</w:t>
      </w:r>
      <w:r w:rsidR="007D0BC0">
        <w:rPr>
          <w:rFonts w:ascii="Times New Roman" w:hAnsi="Times New Roman" w:cs="Times New Roman"/>
          <w:sz w:val="24"/>
          <w:szCs w:val="24"/>
        </w:rPr>
        <w:t>, № 6</w:t>
      </w:r>
      <w:r w:rsidR="003C4D68">
        <w:rPr>
          <w:rFonts w:ascii="Times New Roman" w:hAnsi="Times New Roman" w:cs="Times New Roman"/>
          <w:sz w:val="24"/>
          <w:szCs w:val="24"/>
        </w:rPr>
        <w:t xml:space="preserve">, </w:t>
      </w:r>
      <w:r w:rsidRPr="00336EFA">
        <w:rPr>
          <w:rFonts w:ascii="Times New Roman" w:hAnsi="Times New Roman" w:cs="Times New Roman"/>
        </w:rPr>
        <w:t>начальная (максимальная) цена договора определена методом сопоставимых рыночных цен (анализа рынка).</w:t>
      </w:r>
      <w:proofErr w:type="gramEnd"/>
    </w:p>
    <w:p w:rsidR="007A70C2" w:rsidRPr="00E227F5" w:rsidRDefault="007A70C2" w:rsidP="007A70C2">
      <w:pPr>
        <w:rPr>
          <w:rFonts w:ascii="Times New Roman" w:hAnsi="Times New Roman" w:cs="Times New Roman"/>
        </w:rPr>
      </w:pPr>
      <w:r w:rsidRPr="00E227F5">
        <w:rPr>
          <w:rFonts w:ascii="Times New Roman" w:hAnsi="Times New Roman" w:cs="Times New Roman"/>
        </w:rPr>
        <w:t>2.Расчет НМЦ</w:t>
      </w:r>
      <w:r>
        <w:rPr>
          <w:rFonts w:ascii="Times New Roman" w:hAnsi="Times New Roman" w:cs="Times New Roman"/>
        </w:rPr>
        <w:t>Д</w:t>
      </w:r>
      <w:r w:rsidRPr="00E227F5">
        <w:rPr>
          <w:rFonts w:ascii="Times New Roman" w:hAnsi="Times New Roman" w:cs="Times New Roman"/>
        </w:rPr>
        <w:t xml:space="preserve"> произведен по формуле:</w:t>
      </w:r>
    </w:p>
    <w:p w:rsidR="007A70C2" w:rsidRPr="00E227F5" w:rsidRDefault="007A70C2" w:rsidP="007A70C2">
      <w:pPr>
        <w:rPr>
          <w:rFonts w:ascii="Times New Roman" w:hAnsi="Times New Roman" w:cs="Times New Roman"/>
          <w:noProof/>
          <w:position w:val="-24"/>
        </w:rPr>
      </w:pPr>
      <w:r w:rsidRPr="00E227F5">
        <w:rPr>
          <w:rFonts w:ascii="Times New Roman" w:hAnsi="Times New Roman" w:cs="Times New Roman"/>
          <w:noProof/>
          <w:position w:val="-24"/>
          <w:lang w:bidi="ar-SA"/>
        </w:rPr>
        <w:drawing>
          <wp:inline distT="0" distB="0" distL="0" distR="0">
            <wp:extent cx="1628775" cy="40005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C2" w:rsidRPr="00E227F5" w:rsidRDefault="007A70C2" w:rsidP="007A70C2">
      <w:pPr>
        <w:rPr>
          <w:rFonts w:ascii="Times New Roman" w:hAnsi="Times New Roman" w:cs="Times New Roman"/>
        </w:rPr>
      </w:pPr>
      <w:r w:rsidRPr="00E227F5">
        <w:rPr>
          <w:rFonts w:ascii="Times New Roman" w:hAnsi="Times New Roman" w:cs="Times New Roman"/>
          <w:noProof/>
          <w:position w:val="-24"/>
        </w:rPr>
        <w:t>где</w:t>
      </w:r>
      <w:proofErr w:type="gramStart"/>
      <w:r w:rsidRPr="00E227F5">
        <w:rPr>
          <w:rFonts w:ascii="Times New Roman" w:hAnsi="Times New Roman" w:cs="Times New Roman"/>
          <w:noProof/>
          <w:position w:val="-24"/>
        </w:rPr>
        <w:t>:</w:t>
      </w:r>
      <w:proofErr w:type="spellStart"/>
      <w:r w:rsidRPr="00E227F5">
        <w:rPr>
          <w:rFonts w:ascii="Times New Roman" w:hAnsi="Times New Roman" w:cs="Times New Roman"/>
        </w:rPr>
        <w:t>Н</w:t>
      </w:r>
      <w:proofErr w:type="gramEnd"/>
      <w:r w:rsidRPr="00E227F5">
        <w:rPr>
          <w:rFonts w:ascii="Times New Roman" w:hAnsi="Times New Roman" w:cs="Times New Roman"/>
        </w:rPr>
        <w:t>МЦ</w:t>
      </w:r>
      <w:r>
        <w:rPr>
          <w:rFonts w:ascii="Times New Roman" w:hAnsi="Times New Roman" w:cs="Times New Roman"/>
        </w:rPr>
        <w:t>Д</w:t>
      </w:r>
      <w:r w:rsidRPr="00E227F5">
        <w:rPr>
          <w:rFonts w:ascii="Times New Roman" w:hAnsi="Times New Roman" w:cs="Times New Roman"/>
          <w:vertAlign w:val="superscript"/>
        </w:rPr>
        <w:t>рын</w:t>
      </w:r>
      <w:r w:rsidRPr="00E227F5">
        <w:rPr>
          <w:rFonts w:ascii="Times New Roman" w:hAnsi="Times New Roman" w:cs="Times New Roman"/>
        </w:rPr>
        <w:t>-начальная</w:t>
      </w:r>
      <w:proofErr w:type="spellEnd"/>
      <w:r w:rsidRPr="00E227F5">
        <w:rPr>
          <w:rFonts w:ascii="Times New Roman" w:hAnsi="Times New Roman" w:cs="Times New Roman"/>
        </w:rPr>
        <w:t xml:space="preserve"> (максимальная) цена </w:t>
      </w:r>
      <w:r>
        <w:rPr>
          <w:rFonts w:ascii="Times New Roman" w:hAnsi="Times New Roman" w:cs="Times New Roman"/>
        </w:rPr>
        <w:t>договора</w:t>
      </w:r>
      <w:r w:rsidRPr="00E227F5">
        <w:rPr>
          <w:rFonts w:ascii="Times New Roman" w:hAnsi="Times New Roman" w:cs="Times New Roman"/>
        </w:rPr>
        <w:t>, определяемая методом сопоставимых рыночных цен (анализ рынка);</w:t>
      </w:r>
    </w:p>
    <w:p w:rsidR="007A70C2" w:rsidRPr="00E227F5" w:rsidRDefault="007A70C2" w:rsidP="007A7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7F5">
        <w:rPr>
          <w:rFonts w:ascii="Times New Roman" w:hAnsi="Times New Roman" w:cs="Times New Roman"/>
          <w:sz w:val="24"/>
          <w:szCs w:val="24"/>
        </w:rPr>
        <w:t xml:space="preserve">v - количество (объем) закупаемого товара (работы, услуги); </w:t>
      </w:r>
    </w:p>
    <w:p w:rsidR="007A70C2" w:rsidRPr="00E227F5" w:rsidRDefault="007A70C2" w:rsidP="007A7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7F5">
        <w:rPr>
          <w:rFonts w:ascii="Times New Roman" w:hAnsi="Times New Roman" w:cs="Times New Roman"/>
          <w:sz w:val="24"/>
          <w:szCs w:val="24"/>
        </w:rPr>
        <w:t>n - количество значений, используемых в расчете;</w:t>
      </w:r>
    </w:p>
    <w:p w:rsidR="007A70C2" w:rsidRPr="00E227F5" w:rsidRDefault="007A70C2" w:rsidP="007A7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7F5">
        <w:rPr>
          <w:rFonts w:ascii="Times New Roman" w:hAnsi="Times New Roman" w:cs="Times New Roman"/>
          <w:sz w:val="24"/>
          <w:szCs w:val="24"/>
        </w:rPr>
        <w:t>i - номер источника ценовой информации;</w:t>
      </w:r>
    </w:p>
    <w:p w:rsidR="007A70C2" w:rsidRPr="00E227F5" w:rsidRDefault="007A70C2" w:rsidP="007A70C2">
      <w:pPr>
        <w:rPr>
          <w:rFonts w:ascii="Times New Roman" w:hAnsi="Times New Roman" w:cs="Times New Roman"/>
        </w:rPr>
      </w:pPr>
      <w:r w:rsidRPr="00E227F5">
        <w:rPr>
          <w:rFonts w:ascii="Times New Roman" w:hAnsi="Times New Roman" w:cs="Times New Roman"/>
          <w:noProof/>
          <w:position w:val="-12"/>
          <w:lang w:bidi="ar-SA"/>
        </w:rPr>
        <w:drawing>
          <wp:inline distT="0" distB="0" distL="0" distR="0">
            <wp:extent cx="152400" cy="228600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27F5">
        <w:rPr>
          <w:rFonts w:ascii="Times New Roman" w:hAnsi="Times New Roman" w:cs="Times New Roman"/>
        </w:rPr>
        <w:t xml:space="preserve"> - цена единицы товара, работы, услуги, представленная в источнике с номером i</w:t>
      </w:r>
      <w:r>
        <w:rPr>
          <w:rFonts w:ascii="Times New Roman" w:hAnsi="Times New Roman" w:cs="Times New Roman"/>
        </w:rPr>
        <w:t>.</w:t>
      </w:r>
    </w:p>
    <w:p w:rsidR="00A70985" w:rsidRPr="00B45407" w:rsidRDefault="007A70C2" w:rsidP="00A70985">
      <w:pPr>
        <w:jc w:val="both"/>
        <w:rPr>
          <w:rFonts w:ascii="Times New Roman" w:hAnsi="Times New Roman" w:cs="Times New Roman"/>
        </w:rPr>
      </w:pPr>
      <w:r w:rsidRPr="00E227F5">
        <w:rPr>
          <w:rFonts w:ascii="Times New Roman" w:hAnsi="Times New Roman" w:cs="Times New Roman"/>
        </w:rPr>
        <w:t>3. Результаты проведенных расчетов приведены в таблице: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"/>
        <w:gridCol w:w="1487"/>
        <w:gridCol w:w="1559"/>
        <w:gridCol w:w="795"/>
        <w:gridCol w:w="850"/>
        <w:gridCol w:w="2183"/>
        <w:gridCol w:w="2268"/>
        <w:gridCol w:w="2126"/>
        <w:gridCol w:w="1276"/>
        <w:gridCol w:w="1417"/>
        <w:gridCol w:w="1276"/>
      </w:tblGrid>
      <w:tr w:rsidR="007054E7" w:rsidRPr="00A70985" w:rsidTr="00393E65">
        <w:trPr>
          <w:trHeight w:val="970"/>
        </w:trPr>
        <w:tc>
          <w:tcPr>
            <w:tcW w:w="464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7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Наименование товара (работ, услуг)</w:t>
            </w:r>
          </w:p>
        </w:tc>
        <w:tc>
          <w:tcPr>
            <w:tcW w:w="1559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795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4451" w:type="dxa"/>
            <w:gridSpan w:val="2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Цена за единицу, рублей</w:t>
            </w:r>
          </w:p>
        </w:tc>
        <w:tc>
          <w:tcPr>
            <w:tcW w:w="2126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Расчет НМЦД</w:t>
            </w:r>
          </w:p>
        </w:tc>
        <w:tc>
          <w:tcPr>
            <w:tcW w:w="1276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Итого, рублей</w:t>
            </w:r>
          </w:p>
        </w:tc>
        <w:tc>
          <w:tcPr>
            <w:tcW w:w="1417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Цена за единицу, принятая в расчет цены контракта</w:t>
            </w:r>
          </w:p>
        </w:tc>
        <w:tc>
          <w:tcPr>
            <w:tcW w:w="1276" w:type="dxa"/>
            <w:vMerge w:val="restart"/>
          </w:tcPr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Сумма контракта</w:t>
            </w:r>
          </w:p>
        </w:tc>
      </w:tr>
      <w:tr w:rsidR="007054E7" w:rsidRPr="00A70985" w:rsidTr="00393E65">
        <w:trPr>
          <w:trHeight w:val="660"/>
        </w:trPr>
        <w:tc>
          <w:tcPr>
            <w:tcW w:w="464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054E7" w:rsidRPr="00BB4EFA" w:rsidRDefault="007054E7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</w:tcPr>
          <w:p w:rsidR="007054E7" w:rsidRDefault="007054E7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Поставщик 1</w:t>
            </w:r>
          </w:p>
          <w:p w:rsidR="007054E7" w:rsidRDefault="007054E7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исх.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0/3328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54E7" w:rsidRPr="00BB4EFA" w:rsidRDefault="007054E7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7054E7" w:rsidRPr="00BB4EFA" w:rsidRDefault="007054E7" w:rsidP="007C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54E7" w:rsidRDefault="007054E7" w:rsidP="00913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 xml:space="preserve">Поставщик 2 </w:t>
            </w:r>
          </w:p>
          <w:p w:rsidR="007054E7" w:rsidRDefault="007054E7" w:rsidP="00913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 xml:space="preserve">исх.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  <w:p w:rsidR="007054E7" w:rsidRPr="00BB4EFA" w:rsidRDefault="007054E7" w:rsidP="00BB4E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 xml:space="preserve">.2020 </w:t>
            </w:r>
            <w:hyperlink r:id="rId9" w:history="1"/>
          </w:p>
        </w:tc>
        <w:tc>
          <w:tcPr>
            <w:tcW w:w="2126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054E7" w:rsidRPr="00BB4EFA" w:rsidRDefault="007054E7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EFA" w:rsidRPr="00A70985" w:rsidTr="00393E65">
        <w:trPr>
          <w:trHeight w:val="1018"/>
        </w:trPr>
        <w:tc>
          <w:tcPr>
            <w:tcW w:w="464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528748059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7" w:type="dxa"/>
          </w:tcPr>
          <w:p w:rsidR="00BB4EFA" w:rsidRPr="00BB4EFA" w:rsidRDefault="00BB4EFA" w:rsidP="00BB4EFA">
            <w:pPr>
              <w:shd w:val="clear" w:color="auto" w:fill="FFFFFF"/>
              <w:tabs>
                <w:tab w:val="left" w:pos="360"/>
              </w:tabs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Уголь 2</w:t>
            </w:r>
            <w:r w:rsidRPr="00BB4EF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БР ГОСТ 32352-2013</w:t>
            </w:r>
          </w:p>
          <w:p w:rsidR="00BB4EFA" w:rsidRPr="00BB4EFA" w:rsidRDefault="00BB4EFA" w:rsidP="00913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4EFA" w:rsidRPr="00BB4EFA" w:rsidRDefault="00BB4EFA" w:rsidP="00FD0D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В соответствии с тех. заданием</w:t>
            </w:r>
          </w:p>
        </w:tc>
        <w:tc>
          <w:tcPr>
            <w:tcW w:w="795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B4EFA" w:rsidRPr="00BB4EFA" w:rsidRDefault="00BB4EFA" w:rsidP="00913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BB4E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3" w:type="dxa"/>
          </w:tcPr>
          <w:p w:rsidR="00BB4EFA" w:rsidRPr="00BB4EFA" w:rsidRDefault="007054E7" w:rsidP="007054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1216,8</w:t>
            </w:r>
          </w:p>
        </w:tc>
        <w:tc>
          <w:tcPr>
            <w:tcW w:w="2268" w:type="dxa"/>
          </w:tcPr>
          <w:p w:rsidR="00BB4EFA" w:rsidRPr="00BB4EFA" w:rsidRDefault="007054E7" w:rsidP="00033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1216,8</w:t>
            </w:r>
          </w:p>
        </w:tc>
        <w:tc>
          <w:tcPr>
            <w:tcW w:w="2126" w:type="dxa"/>
          </w:tcPr>
          <w:p w:rsidR="00BB4EFA" w:rsidRPr="00BB4EFA" w:rsidRDefault="007054E7" w:rsidP="0070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*(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1216,8+1216,8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BB4EFA" w:rsidRPr="00BB4EFA" w:rsidRDefault="007054E7" w:rsidP="005B3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912600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BB4EFA" w:rsidRPr="00BB4EFA" w:rsidRDefault="007054E7" w:rsidP="0070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BB4EFA" w:rsidRPr="00BB4EFA" w:rsidRDefault="007054E7" w:rsidP="004E3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912600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bookmarkEnd w:id="0"/>
      <w:tr w:rsidR="00BB4EFA" w:rsidRPr="00A70985" w:rsidTr="00393E65">
        <w:tc>
          <w:tcPr>
            <w:tcW w:w="464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BB4EFA" w:rsidRPr="00BB4EFA" w:rsidRDefault="00BB4EFA" w:rsidP="004E32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EFA">
              <w:rPr>
                <w:rFonts w:ascii="Times New Roman" w:hAnsi="Times New Roman" w:cs="Times New Roman"/>
                <w:b/>
                <w:sz w:val="20"/>
                <w:szCs w:val="20"/>
              </w:rPr>
              <w:t>Итого НМЦД</w:t>
            </w:r>
          </w:p>
        </w:tc>
        <w:tc>
          <w:tcPr>
            <w:tcW w:w="1559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B4EFA" w:rsidRPr="00BB4EFA" w:rsidRDefault="00BB4EFA" w:rsidP="00FD0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BB4EFA" w:rsidRPr="00BB4EFA" w:rsidRDefault="00BB4EFA" w:rsidP="004E32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BB4EFA" w:rsidRPr="00BB4EFA" w:rsidRDefault="00BB4EFA" w:rsidP="004E325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BB4EFA" w:rsidRPr="00BB4EFA" w:rsidRDefault="007054E7" w:rsidP="004E3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912600</w:t>
            </w:r>
            <w:r w:rsidR="00BB4EFA" w:rsidRPr="00BB4E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A70985" w:rsidRPr="00A70985" w:rsidRDefault="00A70985" w:rsidP="00B45407">
      <w:pPr>
        <w:rPr>
          <w:rFonts w:ascii="Times New Roman" w:hAnsi="Times New Roman" w:cs="Times New Roman"/>
          <w:sz w:val="22"/>
          <w:szCs w:val="22"/>
        </w:rPr>
      </w:pPr>
    </w:p>
    <w:p w:rsidR="00A70985" w:rsidRDefault="00A70985" w:rsidP="00A70985">
      <w:pPr>
        <w:jc w:val="right"/>
        <w:rPr>
          <w:rFonts w:ascii="Times New Roman" w:hAnsi="Times New Roman" w:cs="Times New Roman"/>
          <w:sz w:val="22"/>
          <w:szCs w:val="22"/>
        </w:rPr>
      </w:pPr>
      <w:r w:rsidRPr="00A70985">
        <w:rPr>
          <w:rFonts w:ascii="Times New Roman" w:hAnsi="Times New Roman" w:cs="Times New Roman"/>
          <w:sz w:val="22"/>
          <w:szCs w:val="22"/>
        </w:rPr>
        <w:t>Дата подготовки обоснования НМЦ</w:t>
      </w:r>
      <w:r w:rsidR="004E3256">
        <w:rPr>
          <w:rFonts w:ascii="Times New Roman" w:hAnsi="Times New Roman" w:cs="Times New Roman"/>
          <w:sz w:val="22"/>
          <w:szCs w:val="22"/>
        </w:rPr>
        <w:t>Д</w:t>
      </w:r>
      <w:r w:rsidRPr="00A70985">
        <w:rPr>
          <w:rFonts w:ascii="Times New Roman" w:hAnsi="Times New Roman" w:cs="Times New Roman"/>
          <w:sz w:val="22"/>
          <w:szCs w:val="22"/>
        </w:rPr>
        <w:t xml:space="preserve">: </w:t>
      </w:r>
      <w:r w:rsidR="00766406">
        <w:rPr>
          <w:rFonts w:ascii="Times New Roman" w:hAnsi="Times New Roman" w:cs="Times New Roman"/>
          <w:sz w:val="22"/>
          <w:szCs w:val="22"/>
          <w:lang w:val="en-US"/>
        </w:rPr>
        <w:t>14</w:t>
      </w:r>
      <w:r w:rsidR="008A3011">
        <w:rPr>
          <w:rFonts w:ascii="Times New Roman" w:hAnsi="Times New Roman" w:cs="Times New Roman"/>
          <w:sz w:val="22"/>
          <w:szCs w:val="22"/>
        </w:rPr>
        <w:t>.</w:t>
      </w:r>
      <w:r w:rsidR="005A64D8">
        <w:rPr>
          <w:rFonts w:ascii="Times New Roman" w:hAnsi="Times New Roman" w:cs="Times New Roman"/>
          <w:sz w:val="22"/>
          <w:szCs w:val="22"/>
        </w:rPr>
        <w:t>0</w:t>
      </w:r>
      <w:r w:rsidR="002D488E">
        <w:rPr>
          <w:rFonts w:ascii="Times New Roman" w:hAnsi="Times New Roman" w:cs="Times New Roman"/>
          <w:sz w:val="22"/>
          <w:szCs w:val="22"/>
        </w:rPr>
        <w:t>9</w:t>
      </w:r>
      <w:r w:rsidRPr="00A70985">
        <w:rPr>
          <w:rFonts w:ascii="Times New Roman" w:hAnsi="Times New Roman" w:cs="Times New Roman"/>
          <w:sz w:val="22"/>
          <w:szCs w:val="22"/>
        </w:rPr>
        <w:t>.20</w:t>
      </w:r>
      <w:r w:rsidR="00E472B8">
        <w:rPr>
          <w:rFonts w:ascii="Times New Roman" w:hAnsi="Times New Roman" w:cs="Times New Roman"/>
          <w:sz w:val="22"/>
          <w:szCs w:val="22"/>
        </w:rPr>
        <w:t>20</w:t>
      </w:r>
      <w:r w:rsidRPr="00A70985">
        <w:rPr>
          <w:rFonts w:ascii="Times New Roman" w:hAnsi="Times New Roman" w:cs="Times New Roman"/>
          <w:sz w:val="22"/>
          <w:szCs w:val="22"/>
        </w:rPr>
        <w:t>г.</w:t>
      </w:r>
    </w:p>
    <w:p w:rsidR="00B45407" w:rsidRDefault="00B45407" w:rsidP="00B4540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Исполнитель: Прокофьева Л.А.</w:t>
      </w:r>
    </w:p>
    <w:p w:rsidR="00B45407" w:rsidRPr="00A70985" w:rsidRDefault="00B45407" w:rsidP="00B4540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тел.89294394614</w:t>
      </w:r>
    </w:p>
    <w:sectPr w:rsidR="00B45407" w:rsidRPr="00A70985" w:rsidSect="004A0958">
      <w:type w:val="continuous"/>
      <w:pgSz w:w="16838" w:h="11909" w:orient="landscape"/>
      <w:pgMar w:top="633" w:right="484" w:bottom="633" w:left="4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E65" w:rsidRDefault="00393E65" w:rsidP="004A0958">
      <w:r>
        <w:separator/>
      </w:r>
    </w:p>
  </w:endnote>
  <w:endnote w:type="continuationSeparator" w:id="1">
    <w:p w:rsidR="00393E65" w:rsidRDefault="00393E65" w:rsidP="004A0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E65" w:rsidRDefault="00393E65"/>
  </w:footnote>
  <w:footnote w:type="continuationSeparator" w:id="1">
    <w:p w:rsidR="00393E65" w:rsidRDefault="00393E6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44BB9"/>
    <w:multiLevelType w:val="multilevel"/>
    <w:tmpl w:val="757A5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A0958"/>
    <w:rsid w:val="000001F2"/>
    <w:rsid w:val="00004D0E"/>
    <w:rsid w:val="00021865"/>
    <w:rsid w:val="000274F9"/>
    <w:rsid w:val="0003392A"/>
    <w:rsid w:val="00033A60"/>
    <w:rsid w:val="0003650B"/>
    <w:rsid w:val="0005333B"/>
    <w:rsid w:val="000B1CDB"/>
    <w:rsid w:val="000B55A3"/>
    <w:rsid w:val="000C5D83"/>
    <w:rsid w:val="000D4F2E"/>
    <w:rsid w:val="00122829"/>
    <w:rsid w:val="00140873"/>
    <w:rsid w:val="00142A94"/>
    <w:rsid w:val="0018084A"/>
    <w:rsid w:val="001832D9"/>
    <w:rsid w:val="001957EA"/>
    <w:rsid w:val="001A05D6"/>
    <w:rsid w:val="001C79F8"/>
    <w:rsid w:val="00210D4B"/>
    <w:rsid w:val="002336FA"/>
    <w:rsid w:val="00283781"/>
    <w:rsid w:val="00287903"/>
    <w:rsid w:val="002D488E"/>
    <w:rsid w:val="002E1536"/>
    <w:rsid w:val="002F6CC2"/>
    <w:rsid w:val="00301E2D"/>
    <w:rsid w:val="00303B2E"/>
    <w:rsid w:val="00342CEA"/>
    <w:rsid w:val="0034373E"/>
    <w:rsid w:val="00344B8E"/>
    <w:rsid w:val="0038021C"/>
    <w:rsid w:val="00382065"/>
    <w:rsid w:val="00393E65"/>
    <w:rsid w:val="003A76B5"/>
    <w:rsid w:val="003B58DA"/>
    <w:rsid w:val="003C4D68"/>
    <w:rsid w:val="003C61AD"/>
    <w:rsid w:val="003C7027"/>
    <w:rsid w:val="003C7749"/>
    <w:rsid w:val="003E2ABB"/>
    <w:rsid w:val="00463D02"/>
    <w:rsid w:val="004643BD"/>
    <w:rsid w:val="00493EC7"/>
    <w:rsid w:val="004A0958"/>
    <w:rsid w:val="004B2A9B"/>
    <w:rsid w:val="004C4159"/>
    <w:rsid w:val="004E02EE"/>
    <w:rsid w:val="004E3256"/>
    <w:rsid w:val="004F43FC"/>
    <w:rsid w:val="00531270"/>
    <w:rsid w:val="0058006E"/>
    <w:rsid w:val="005817D3"/>
    <w:rsid w:val="005851FD"/>
    <w:rsid w:val="005A4D9F"/>
    <w:rsid w:val="005A64D8"/>
    <w:rsid w:val="005B307D"/>
    <w:rsid w:val="005C0A0E"/>
    <w:rsid w:val="005E0EEE"/>
    <w:rsid w:val="0060486C"/>
    <w:rsid w:val="00612092"/>
    <w:rsid w:val="00654F3B"/>
    <w:rsid w:val="00657966"/>
    <w:rsid w:val="00677614"/>
    <w:rsid w:val="006807F8"/>
    <w:rsid w:val="006D0BA4"/>
    <w:rsid w:val="006D1616"/>
    <w:rsid w:val="006D7478"/>
    <w:rsid w:val="006E412C"/>
    <w:rsid w:val="006E741F"/>
    <w:rsid w:val="007005C6"/>
    <w:rsid w:val="007054E7"/>
    <w:rsid w:val="0073636C"/>
    <w:rsid w:val="00740334"/>
    <w:rsid w:val="00766406"/>
    <w:rsid w:val="0076686B"/>
    <w:rsid w:val="007A70C2"/>
    <w:rsid w:val="007C0B92"/>
    <w:rsid w:val="007C4648"/>
    <w:rsid w:val="007D0BC0"/>
    <w:rsid w:val="007D4F46"/>
    <w:rsid w:val="008049AB"/>
    <w:rsid w:val="00812E8D"/>
    <w:rsid w:val="00823A97"/>
    <w:rsid w:val="00841D01"/>
    <w:rsid w:val="00855CFC"/>
    <w:rsid w:val="00856D94"/>
    <w:rsid w:val="00861D86"/>
    <w:rsid w:val="00865237"/>
    <w:rsid w:val="00890571"/>
    <w:rsid w:val="00894CB8"/>
    <w:rsid w:val="008A3011"/>
    <w:rsid w:val="008A585E"/>
    <w:rsid w:val="008B04DE"/>
    <w:rsid w:val="008B477F"/>
    <w:rsid w:val="008C4718"/>
    <w:rsid w:val="008C4995"/>
    <w:rsid w:val="008D4DED"/>
    <w:rsid w:val="008F54BB"/>
    <w:rsid w:val="00913A1A"/>
    <w:rsid w:val="00917BE6"/>
    <w:rsid w:val="0092195B"/>
    <w:rsid w:val="00923F35"/>
    <w:rsid w:val="009312AE"/>
    <w:rsid w:val="0094046E"/>
    <w:rsid w:val="0095004E"/>
    <w:rsid w:val="0095129D"/>
    <w:rsid w:val="00973863"/>
    <w:rsid w:val="0097441C"/>
    <w:rsid w:val="009775D7"/>
    <w:rsid w:val="009A2C17"/>
    <w:rsid w:val="009B2473"/>
    <w:rsid w:val="009C1EBB"/>
    <w:rsid w:val="00A12224"/>
    <w:rsid w:val="00A520F8"/>
    <w:rsid w:val="00A70985"/>
    <w:rsid w:val="00A737E7"/>
    <w:rsid w:val="00A75AAD"/>
    <w:rsid w:val="00A81869"/>
    <w:rsid w:val="00A90582"/>
    <w:rsid w:val="00AB6113"/>
    <w:rsid w:val="00AC081D"/>
    <w:rsid w:val="00AC5448"/>
    <w:rsid w:val="00AD00DE"/>
    <w:rsid w:val="00AE00FD"/>
    <w:rsid w:val="00AE6CE5"/>
    <w:rsid w:val="00AF6B99"/>
    <w:rsid w:val="00B3190B"/>
    <w:rsid w:val="00B3652A"/>
    <w:rsid w:val="00B37563"/>
    <w:rsid w:val="00B45407"/>
    <w:rsid w:val="00B50DC1"/>
    <w:rsid w:val="00B53D77"/>
    <w:rsid w:val="00B612A1"/>
    <w:rsid w:val="00B677A4"/>
    <w:rsid w:val="00B8515A"/>
    <w:rsid w:val="00B925BC"/>
    <w:rsid w:val="00BA4035"/>
    <w:rsid w:val="00BB4EFA"/>
    <w:rsid w:val="00BC7380"/>
    <w:rsid w:val="00BD2853"/>
    <w:rsid w:val="00BF55F2"/>
    <w:rsid w:val="00BF578E"/>
    <w:rsid w:val="00C01E61"/>
    <w:rsid w:val="00C34DD5"/>
    <w:rsid w:val="00C4284E"/>
    <w:rsid w:val="00C53A55"/>
    <w:rsid w:val="00C63513"/>
    <w:rsid w:val="00C76FA5"/>
    <w:rsid w:val="00C830F3"/>
    <w:rsid w:val="00CA5D9D"/>
    <w:rsid w:val="00CB1D60"/>
    <w:rsid w:val="00CB7506"/>
    <w:rsid w:val="00CE4B73"/>
    <w:rsid w:val="00CF03F4"/>
    <w:rsid w:val="00D04E3D"/>
    <w:rsid w:val="00D26D2C"/>
    <w:rsid w:val="00D5622D"/>
    <w:rsid w:val="00D63A2D"/>
    <w:rsid w:val="00D77DA8"/>
    <w:rsid w:val="00DA3B6E"/>
    <w:rsid w:val="00DB5009"/>
    <w:rsid w:val="00DC03A4"/>
    <w:rsid w:val="00DC624A"/>
    <w:rsid w:val="00DE689F"/>
    <w:rsid w:val="00DF31BB"/>
    <w:rsid w:val="00E227F5"/>
    <w:rsid w:val="00E472B8"/>
    <w:rsid w:val="00E55A2A"/>
    <w:rsid w:val="00E61D58"/>
    <w:rsid w:val="00E8769F"/>
    <w:rsid w:val="00ED6DA8"/>
    <w:rsid w:val="00F03085"/>
    <w:rsid w:val="00F221E0"/>
    <w:rsid w:val="00F24E65"/>
    <w:rsid w:val="00F35301"/>
    <w:rsid w:val="00F90260"/>
    <w:rsid w:val="00F917F5"/>
    <w:rsid w:val="00F92BDD"/>
    <w:rsid w:val="00FA5E9C"/>
    <w:rsid w:val="00FA67EC"/>
    <w:rsid w:val="00FB297E"/>
    <w:rsid w:val="00FD0D1F"/>
    <w:rsid w:val="00FE6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095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095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4A09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sid w:val="004A09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4A09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145pt0pt">
    <w:name w:val="Заголовок №1 + 4;5 pt;Интервал 0 pt"/>
    <w:basedOn w:val="1"/>
    <w:rsid w:val="004A09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Consolas85pt0pt">
    <w:name w:val="Заголовок №1 + Consolas;8;5 pt;Курсив;Интервал 0 pt"/>
    <w:basedOn w:val="1"/>
    <w:rsid w:val="004A0958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4A09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pt">
    <w:name w:val="Основной текст + 9 pt"/>
    <w:basedOn w:val="a4"/>
    <w:rsid w:val="004A09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4A0958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rsid w:val="004A0958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4A0958"/>
    <w:pPr>
      <w:shd w:val="clear" w:color="auto" w:fill="FFFFFF"/>
      <w:spacing w:before="120" w:after="300" w:line="0" w:lineRule="atLeast"/>
      <w:outlineLvl w:val="0"/>
    </w:pPr>
    <w:rPr>
      <w:rFonts w:ascii="Times New Roman" w:eastAsia="Times New Roman" w:hAnsi="Times New Roman" w:cs="Times New Roman"/>
      <w:spacing w:val="-20"/>
      <w:sz w:val="30"/>
      <w:szCs w:val="30"/>
    </w:rPr>
  </w:style>
  <w:style w:type="paragraph" w:customStyle="1" w:styleId="ConsPlusNormal">
    <w:name w:val="ConsPlusNormal"/>
    <w:rsid w:val="00E227F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E2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7F5"/>
    <w:rPr>
      <w:rFonts w:ascii="Tahoma" w:hAnsi="Tahoma" w:cs="Tahoma"/>
      <w:color w:val="000000"/>
      <w:sz w:val="16"/>
      <w:szCs w:val="16"/>
    </w:rPr>
  </w:style>
  <w:style w:type="character" w:customStyle="1" w:styleId="12">
    <w:name w:val="Основной шрифт абзаца1"/>
    <w:uiPriority w:val="99"/>
    <w:rsid w:val="006D7478"/>
    <w:rPr>
      <w:sz w:val="24"/>
    </w:rPr>
  </w:style>
  <w:style w:type="paragraph" w:customStyle="1" w:styleId="13">
    <w:name w:val="Обычный1"/>
    <w:uiPriority w:val="99"/>
    <w:rsid w:val="006D7478"/>
    <w:pPr>
      <w:widowControl/>
      <w:suppressAutoHyphens/>
      <w:jc w:val="both"/>
    </w:pPr>
    <w:rPr>
      <w:rFonts w:ascii="TimesET" w:eastAsia="Times New Roman" w:hAnsi="TimesET" w:cs="Calibri"/>
      <w:szCs w:val="20"/>
      <w:lang w:eastAsia="ar-SA" w:bidi="ar-SA"/>
    </w:rPr>
  </w:style>
  <w:style w:type="paragraph" w:styleId="a7">
    <w:name w:val="No Spacing"/>
    <w:uiPriority w:val="1"/>
    <w:qFormat/>
    <w:rsid w:val="009312A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ita.tiu.ru/p185649584-polotentse-gostinichnoe-mahrovoe.html?_openstat=tiu_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2020-04-29T03:25:00Z</cp:lastPrinted>
  <dcterms:created xsi:type="dcterms:W3CDTF">2020-04-29T03:26:00Z</dcterms:created>
  <dcterms:modified xsi:type="dcterms:W3CDTF">2020-09-14T01:39:00Z</dcterms:modified>
</cp:coreProperties>
</file>